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黑体" w:hAnsi="黑体" w:eastAsia="黑体" w:cs="黑体"/>
          <w:b w:val="0"/>
          <w:bCs/>
          <w:color w:val="auto"/>
          <w:sz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lang w:eastAsia="zh-CN"/>
        </w:rPr>
        <w:t>附件</w:t>
      </w:r>
    </w:p>
    <w:p>
      <w:pPr>
        <w:spacing w:line="220" w:lineRule="atLeast"/>
        <w:jc w:val="center"/>
        <w:rPr>
          <w:rFonts w:asciiTheme="majorEastAsia" w:hAnsiTheme="majorEastAsia" w:eastAsiaTheme="majorEastAsia"/>
          <w:b/>
          <w:color w:val="auto"/>
          <w:sz w:val="28"/>
        </w:rPr>
      </w:pPr>
      <w:r>
        <w:rPr>
          <w:rFonts w:hint="eastAsia" w:asciiTheme="majorEastAsia" w:hAnsiTheme="majorEastAsia" w:eastAsiaTheme="majorEastAsia"/>
          <w:b/>
          <w:color w:val="auto"/>
          <w:sz w:val="28"/>
        </w:rPr>
        <w:t>中外合作办学机构信息表（</w:t>
      </w:r>
      <w:r>
        <w:rPr>
          <w:rFonts w:hint="eastAsia" w:asciiTheme="majorEastAsia" w:hAnsiTheme="majorEastAsia" w:eastAsiaTheme="majorEastAsia"/>
          <w:b/>
          <w:color w:val="auto"/>
          <w:sz w:val="28"/>
          <w:lang w:val="en-US" w:eastAsia="zh-CN"/>
        </w:rPr>
        <w:t>1932N</w:t>
      </w:r>
      <w:r>
        <w:rPr>
          <w:rFonts w:hint="eastAsia" w:asciiTheme="majorEastAsia" w:hAnsiTheme="majorEastAsia" w:eastAsiaTheme="majorEastAsia"/>
          <w:b/>
          <w:color w:val="auto"/>
          <w:sz w:val="28"/>
        </w:rPr>
        <w:t>）</w:t>
      </w:r>
    </w:p>
    <w:tbl>
      <w:tblPr>
        <w:tblStyle w:val="6"/>
        <w:tblW w:w="14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369"/>
        <w:gridCol w:w="2693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机构名称</w:t>
            </w:r>
          </w:p>
        </w:tc>
        <w:tc>
          <w:tcPr>
            <w:tcW w:w="636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山东交通学院顿河学院</w:t>
            </w:r>
          </w:p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（英</w:t>
            </w:r>
            <w:bookmarkStart w:id="0" w:name="_GoBack"/>
            <w:bookmarkEnd w:id="0"/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文：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  <w:lang w:val="ru-RU"/>
              </w:rPr>
              <w:t xml:space="preserve">Don College of 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val="en-US" w:eastAsia="zh-CN"/>
              </w:rPr>
              <w:t xml:space="preserve"> Shandong Jiaotong University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  <w:lang w:val="ru-RU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机构属性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不具有法人资格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机构住所</w:t>
            </w:r>
          </w:p>
        </w:tc>
        <w:tc>
          <w:tcPr>
            <w:tcW w:w="636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山东省济南市长清大学科技园海棠路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val="en-US" w:eastAsia="zh-CN"/>
              </w:rPr>
              <w:t>5001号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陈松岩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中外合作办学者</w:t>
            </w:r>
          </w:p>
        </w:tc>
        <w:tc>
          <w:tcPr>
            <w:tcW w:w="636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eastAsia="zh-CN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中方：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山东交通学院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校长或主要行政负责人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商岳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6369" w:type="dxa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cs="Times New Roman" w:hAnsiTheme="minorEastAsia" w:eastAsiaTheme="minorEastAsia"/>
                <w:color w:val="auto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外方：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  <w:lang w:val="ru-RU"/>
              </w:rPr>
              <w:t>Don State Technical University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, Russia</w:t>
            </w:r>
          </w:p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（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</w:rPr>
              <w:t>俄罗斯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顿河国立技术大学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合作办学者是否要求取得合理回报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办学层次和类别</w:t>
            </w:r>
          </w:p>
        </w:tc>
        <w:tc>
          <w:tcPr>
            <w:tcW w:w="6369" w:type="dxa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本科学历教育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  <w:t>学制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Cs w:val="24"/>
              </w:rPr>
              <w:t>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办学规模</w:t>
            </w:r>
          </w:p>
        </w:tc>
        <w:tc>
          <w:tcPr>
            <w:tcW w:w="6369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办学总规模为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  <w:t>960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人（在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山东交通学院年度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招生计划内统筹安排）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val="en-US" w:eastAsia="zh-CN"/>
              </w:rPr>
              <w:t>，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每专业每年招收</w:t>
            </w: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0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人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。</w:t>
            </w:r>
          </w:p>
        </w:tc>
        <w:tc>
          <w:tcPr>
            <w:tcW w:w="269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招生起止年份</w:t>
            </w:r>
          </w:p>
        </w:tc>
        <w:tc>
          <w:tcPr>
            <w:tcW w:w="3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201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Cs w:val="24"/>
              </w:rPr>
              <w:t>9</w:t>
            </w: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-20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  <w:t>24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年（每年</w:t>
            </w: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1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招生方式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</w:rPr>
              <w:t>纳入国家普通高等学校招生计划，并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按照国家普通高校招生录取政策规定执行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开设专业或课程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cs="Times New Roman" w:hAnsiTheme="minorEastAsia" w:eastAsiaTheme="minorEastAsia"/>
                <w:color w:val="auto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交通运输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（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val="en-US" w:eastAsia="zh-CN"/>
              </w:rPr>
              <w:t>081801H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）、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土木工程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（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val="en-US" w:eastAsia="zh-CN"/>
              </w:rPr>
              <w:t>081001H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颁发证书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中方：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山东交通学院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本科毕业证书、学士学位证书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外方</w:t>
            </w:r>
            <w:r>
              <w:rPr>
                <w:rFonts w:hint="eastAsia" w:ascii="Times New Roman" w:cs="Times New Roman" w:hAnsiTheme="minorEastAsia" w:eastAsiaTheme="minorEastAsia"/>
                <w:color w:val="auto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</w:rPr>
              <w:t>«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  <w:lang w:val="ru-RU"/>
              </w:rPr>
              <w:t>Донской государственный технический университет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</w:rPr>
              <w:t>» Диплом бакалавра по направлению подготовки 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  <w:lang w:val="ru-RU"/>
              </w:rPr>
              <w:t>Технология транспортных процессов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</w:rPr>
              <w:t xml:space="preserve">”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  <w:t>交通运输专业学士学位证书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</w:rPr>
              <w:t>；«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  <w:lang w:val="ru-RU"/>
              </w:rPr>
              <w:t>Донской государственный технический университет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</w:rPr>
              <w:t>» Диплом бакалавра по направлению подготовки “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  <w:lang w:val="ru-RU"/>
              </w:rPr>
              <w:t>Строительство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</w:rPr>
              <w:t xml:space="preserve">”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  <w:t>土木工程专业学士学位证书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审批机关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许可证编号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MOE37RUA02DNR20181932N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51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auto"/>
                <w:sz w:val="24"/>
                <w:szCs w:val="24"/>
              </w:rPr>
              <w:t>许可证有效期</w:t>
            </w:r>
          </w:p>
        </w:tc>
        <w:tc>
          <w:tcPr>
            <w:tcW w:w="13031" w:type="dxa"/>
            <w:gridSpan w:val="3"/>
            <w:vAlign w:val="center"/>
          </w:tcPr>
          <w:p>
            <w:pPr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20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Cs w:val="24"/>
                <w:lang w:val="en-US" w:eastAsia="zh-CN"/>
              </w:rPr>
              <w:t>28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年</w:t>
            </w: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12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月</w:t>
            </w:r>
            <w:r>
              <w:rPr>
                <w:rFonts w:ascii="Times New Roman" w:hAnsi="Times New Roman" w:cs="Times New Roman" w:eastAsiaTheme="minorEastAsia"/>
                <w:color w:val="auto"/>
                <w:szCs w:val="24"/>
              </w:rPr>
              <w:t>31</w:t>
            </w:r>
            <w:r>
              <w:rPr>
                <w:rFonts w:ascii="Times New Roman" w:cs="Times New Roman" w:hAnsiTheme="minorEastAsia" w:eastAsiaTheme="minorEastAsia"/>
                <w:color w:val="auto"/>
                <w:szCs w:val="24"/>
              </w:rPr>
              <w:t>日</w:t>
            </w:r>
          </w:p>
        </w:tc>
      </w:tr>
    </w:tbl>
    <w:p>
      <w:pPr>
        <w:spacing w:line="220" w:lineRule="atLeast"/>
        <w:jc w:val="right"/>
        <w:rPr>
          <w:rFonts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ascii="Times New Roman" w:cs="Times New Roman" w:hAnsiTheme="minorEastAsia" w:eastAsiaTheme="minorEastAsia"/>
          <w:color w:val="auto"/>
          <w:sz w:val="24"/>
          <w:szCs w:val="24"/>
        </w:rPr>
        <w:t>制表时间：</w:t>
      </w:r>
      <w:r>
        <w:rPr>
          <w:rFonts w:ascii="Times New Roman" w:hAnsi="Times New Roman" w:cs="Times New Roman" w:eastAsiaTheme="minorEastAsia"/>
          <w:color w:val="auto"/>
          <w:sz w:val="24"/>
          <w:szCs w:val="24"/>
        </w:rPr>
        <w:t>201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9</w:t>
      </w:r>
      <w:r>
        <w:rPr>
          <w:rFonts w:ascii="Times New Roman" w:cs="Times New Roman" w:hAnsiTheme="minorEastAsia" w:eastAsiaTheme="minorEastAsia"/>
          <w:color w:val="auto"/>
          <w:sz w:val="24"/>
          <w:szCs w:val="24"/>
        </w:rPr>
        <w:t>年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1</w:t>
      </w:r>
      <w:r>
        <w:rPr>
          <w:rFonts w:ascii="Times New Roman" w:cs="Times New Roman" w:hAnsiTheme="minorEastAsia" w:eastAsiaTheme="minorEastAsia"/>
          <w:color w:val="auto"/>
          <w:sz w:val="24"/>
          <w:szCs w:val="24"/>
        </w:rPr>
        <w:t>月</w:t>
      </w:r>
    </w:p>
    <w:sectPr>
      <w:pgSz w:w="16838" w:h="11906" w:orient="landscape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400A4"/>
    <w:rsid w:val="0004707D"/>
    <w:rsid w:val="0005624A"/>
    <w:rsid w:val="00057757"/>
    <w:rsid w:val="000C4AD8"/>
    <w:rsid w:val="0014516C"/>
    <w:rsid w:val="00174CAF"/>
    <w:rsid w:val="00174EE6"/>
    <w:rsid w:val="001E11BF"/>
    <w:rsid w:val="002918E3"/>
    <w:rsid w:val="002F3E50"/>
    <w:rsid w:val="00323B43"/>
    <w:rsid w:val="00332F87"/>
    <w:rsid w:val="003D37D8"/>
    <w:rsid w:val="00426133"/>
    <w:rsid w:val="004358AB"/>
    <w:rsid w:val="004D2402"/>
    <w:rsid w:val="004F426D"/>
    <w:rsid w:val="00521641"/>
    <w:rsid w:val="00541623"/>
    <w:rsid w:val="0056175D"/>
    <w:rsid w:val="007C79AF"/>
    <w:rsid w:val="00804C8C"/>
    <w:rsid w:val="00822231"/>
    <w:rsid w:val="008B7726"/>
    <w:rsid w:val="008C34BF"/>
    <w:rsid w:val="008D4CAB"/>
    <w:rsid w:val="00955149"/>
    <w:rsid w:val="00975494"/>
    <w:rsid w:val="00991D67"/>
    <w:rsid w:val="009A315C"/>
    <w:rsid w:val="009C2E3C"/>
    <w:rsid w:val="00A118B9"/>
    <w:rsid w:val="00A67F8F"/>
    <w:rsid w:val="00A95C73"/>
    <w:rsid w:val="00AC3F59"/>
    <w:rsid w:val="00AC432B"/>
    <w:rsid w:val="00B45C69"/>
    <w:rsid w:val="00B5526C"/>
    <w:rsid w:val="00B940BF"/>
    <w:rsid w:val="00BC6DDE"/>
    <w:rsid w:val="00CA744A"/>
    <w:rsid w:val="00CE195B"/>
    <w:rsid w:val="00CE4C71"/>
    <w:rsid w:val="00D31D50"/>
    <w:rsid w:val="00DD17C1"/>
    <w:rsid w:val="00E21F0E"/>
    <w:rsid w:val="00E944F0"/>
    <w:rsid w:val="00EB450B"/>
    <w:rsid w:val="00F8010F"/>
    <w:rsid w:val="00F91490"/>
    <w:rsid w:val="094A0B1D"/>
    <w:rsid w:val="16583488"/>
    <w:rsid w:val="18C91312"/>
    <w:rsid w:val="1D020AE2"/>
    <w:rsid w:val="1FAB39BB"/>
    <w:rsid w:val="1FFA44F7"/>
    <w:rsid w:val="25DD62EF"/>
    <w:rsid w:val="27BD4D0A"/>
    <w:rsid w:val="29090031"/>
    <w:rsid w:val="31481E92"/>
    <w:rsid w:val="32E05674"/>
    <w:rsid w:val="33094F38"/>
    <w:rsid w:val="3AC04458"/>
    <w:rsid w:val="3ACA7D10"/>
    <w:rsid w:val="3E1A357D"/>
    <w:rsid w:val="3F0C6B60"/>
    <w:rsid w:val="4049737C"/>
    <w:rsid w:val="45B76ED1"/>
    <w:rsid w:val="46DE3A73"/>
    <w:rsid w:val="4A243A3A"/>
    <w:rsid w:val="51F83D4F"/>
    <w:rsid w:val="532140E3"/>
    <w:rsid w:val="56BE1561"/>
    <w:rsid w:val="584C1AA6"/>
    <w:rsid w:val="58AB6327"/>
    <w:rsid w:val="59317E07"/>
    <w:rsid w:val="5DD46BA0"/>
    <w:rsid w:val="613E1A7D"/>
    <w:rsid w:val="79852DEC"/>
    <w:rsid w:val="7A925316"/>
    <w:rsid w:val="7C04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1438</Characters>
  <Lines>11</Lines>
  <Paragraphs>3</Paragraphs>
  <TotalTime>0</TotalTime>
  <ScaleCrop>false</ScaleCrop>
  <LinksUpToDate>false</LinksUpToDate>
  <CharactersWithSpaces>1687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Sue</cp:lastModifiedBy>
  <cp:lastPrinted>2019-01-08T07:39:00Z</cp:lastPrinted>
  <dcterms:modified xsi:type="dcterms:W3CDTF">2019-01-23T00:16:59Z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